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64"/>
        <w:widowControl w:val="false"/>
        <w:pBdr/>
        <w:spacing w:after="0" w:before="0"/>
        <w:ind/>
        <w:jc w:val="right"/>
        <w:rPr/>
      </w:pPr>
      <w:r>
        <w:t xml:space="preserve">Приложение № 1</w:t>
      </w:r>
      <w:r/>
    </w:p>
    <w:p>
      <w:pPr>
        <w:pStyle w:val="664"/>
        <w:pBdr/>
        <w:spacing w:after="0" w:before="0"/>
        <w:ind w:firstLine="567"/>
        <w:jc w:val="right"/>
        <w:rPr/>
      </w:pPr>
      <w:r>
        <w:t xml:space="preserve">к Документации об аукционе</w:t>
      </w:r>
      <w:r/>
    </w:p>
    <w:p>
      <w:pPr>
        <w:pStyle w:val="664"/>
        <w:pBdr/>
        <w:spacing w:after="0" w:before="0"/>
        <w:ind w:firstLine="567"/>
        <w:jc w:val="right"/>
        <w:rPr/>
      </w:pPr>
      <w:r>
        <w:t xml:space="preserve"> </w:t>
      </w:r>
      <w:r>
        <w:t xml:space="preserve">в электронной форме</w:t>
      </w:r>
      <w:r/>
    </w:p>
    <w:p>
      <w:pPr>
        <w:pStyle w:val="664"/>
        <w:pBdr/>
        <w:spacing w:after="0" w:before="0"/>
        <w:ind w:firstLine="567"/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pStyle w:val="664"/>
        <w:pBdr/>
        <w:spacing w:after="0" w:before="0"/>
        <w:ind w:firstLine="567"/>
        <w:jc w:val="center"/>
        <w:rPr>
          <w:b/>
        </w:rPr>
      </w:pPr>
      <w:r>
        <w:rPr>
          <w:b/>
        </w:rPr>
        <w:t xml:space="preserve">Первая часть закупки (рекомендуемая форма)</w:t>
      </w:r>
      <w:r>
        <w:rPr>
          <w:b/>
        </w:rPr>
      </w:r>
    </w:p>
    <w:p>
      <w:pPr>
        <w:pStyle w:val="664"/>
        <w:pBdr/>
        <w:spacing w:after="0" w:before="0"/>
        <w:ind w:firstLine="567"/>
        <w:rPr/>
      </w:pPr>
      <w:r>
        <w:t xml:space="preserve">Изучив документацию аукциона в электронной форме</w:t>
      </w:r>
      <w:r>
        <w:rPr>
          <w:color w:val="000000"/>
        </w:rPr>
        <w:t xml:space="preserve">, участниками которого могут быть только субъекты малого и среднего предпринимательства</w:t>
      </w:r>
      <w:r>
        <w:t xml:space="preserve">, подтверждае</w:t>
      </w:r>
      <w:r>
        <w:t xml:space="preserve">м</w:t>
      </w:r>
      <w:r>
        <w:t xml:space="preserve"> своё согласие на поставку товаров (выполнени</w:t>
      </w:r>
      <w:bookmarkStart w:id="0" w:name="_GoBack"/>
      <w:r/>
      <w:bookmarkEnd w:id="0"/>
      <w:r>
        <w:t xml:space="preserve">е работ, оказание услуг), соответствующих требованиям документации аукциона в электронной форме на </w:t>
      </w:r>
      <w:r>
        <w:rPr>
          <w:b/>
          <w:i/>
          <w:u w:val="single"/>
        </w:rPr>
        <w:t xml:space="preserve">указывается предмет закупки, номер извещения №</w:t>
      </w:r>
      <w:r>
        <w:rPr>
          <w:u w:val="single"/>
        </w:rPr>
        <w:t xml:space="preserve">,</w:t>
      </w:r>
      <w:r>
        <w:t xml:space="preserve"> в полном соответствии с документацией аукциона в электронной форме и Приложениями №3Техническое задание, №4 Проект договора, а также сообщает Вам </w:t>
      </w:r>
      <w:r>
        <w:rPr>
          <w:rStyle w:val="666"/>
          <w:sz w:val="24"/>
          <w:szCs w:val="24"/>
        </w:rPr>
        <w:t xml:space="preserve">сведения о поставляемом товаре</w:t>
      </w:r>
      <w:r>
        <w:t xml:space="preserve">:</w:t>
      </w:r>
      <w:r/>
    </w:p>
    <w:tbl>
      <w:tblPr>
        <w:tblInd w:w="108" w:type="dxa"/>
        <w:tblW w:w="10175" w:type="dxa"/>
        <w:tblCellMar>
          <w:left w:w="108" w:type="dxa"/>
          <w:top w:w="0" w:type="dxa"/>
          <w:right w:w="108" w:type="dxa"/>
          <w:bottom w:w="0" w:type="dxa"/>
        </w:tblCellMar>
        <w:tblBorders/>
        <w:tblLayout w:type="fixed"/>
        <w:tblpPr w:horzAnchor="margin" w:tblpXSpec="left" w:vertAnchor="text" w:tblpY="64" w:leftFromText="180" w:topFromText="0" w:rightFromText="180" w:bottomFromText="0"/>
        <w:tblLook w:val="01E0" w:firstRow="1" w:lastRow="1" w:firstColumn="1" w:lastColumn="1" w:noHBand="0" w:noVBand="0"/>
      </w:tblPr>
      <w:tblGrid>
        <w:gridCol w:w="704"/>
        <w:gridCol w:w="1955"/>
        <w:gridCol w:w="4112"/>
        <w:gridCol w:w="1559"/>
        <w:gridCol w:w="851"/>
        <w:gridCol w:w="993"/>
      </w:tblGrid>
      <w:tr>
        <w:trPr>
          <w:trHeight w:val="8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Align w:val="center"/>
            <w:vMerge w:val="restart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№ </w:t>
            </w:r>
            <w:r>
              <w:rPr>
                <w:b/>
                <w:sz w:val="18"/>
                <w:szCs w:val="20"/>
              </w:rPr>
              <w:t xml:space="preserve">п/п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5" w:type="dxa"/>
            <w:vAlign w:val="center"/>
            <w:vMerge w:val="restart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Наименование 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2" w:type="dxa"/>
            <w:vAlign w:val="center"/>
            <w:vMerge w:val="restart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Конкретные показатели, соответствующие значениям, установленным документацией об электронном аукционе, и указани</w:t>
            </w:r>
            <w:r>
              <w:rPr>
                <w:b/>
                <w:sz w:val="18"/>
                <w:szCs w:val="20"/>
              </w:rPr>
              <w:t xml:space="preserve">е на товарный знак (его словесное обозначение) (при наличии), знак обслуживания (при наличии), фирменное наименование (при наличии), патенты (при наличии), полезные модели (при наличии), промышленные образцы (при наличии), предлагаемого для поставки товара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Наименование страны происхождения товара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  <w:lang w:eastAsia="en-US"/>
              </w:rPr>
              <w:t xml:space="preserve">Ед. изм.</w:t>
            </w:r>
            <w:r>
              <w:rPr>
                <w:b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  <w:lang w:eastAsia="en-US"/>
              </w:rPr>
              <w:t xml:space="preserve">Кол-во</w:t>
            </w:r>
            <w:r>
              <w:rPr>
                <w:b/>
                <w:sz w:val="18"/>
                <w:szCs w:val="20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1</w:t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5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 w:right="176" w:firstLine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</w:r>
            <w:r>
              <w:rPr>
                <w:color w:val="000000"/>
                <w:sz w:val="18"/>
                <w:szCs w:val="20"/>
              </w:rPr>
            </w:r>
          </w:p>
          <w:p>
            <w:pPr>
              <w:pStyle w:val="664"/>
              <w:widowControl w:val="false"/>
              <w:pBdr/>
              <w:spacing w:after="0" w:before="0"/>
              <w:ind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</w:r>
            <w:r>
              <w:rPr>
                <w:color w:val="000000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</w:r>
            <w:r>
              <w:rPr>
                <w:sz w:val="18"/>
                <w:szCs w:val="20"/>
                <w:lang w:eastAsia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</w:r>
            <w:r>
              <w:rPr>
                <w:sz w:val="18"/>
                <w:szCs w:val="20"/>
                <w:lang w:eastAsia="en-US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2</w:t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5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rPr>
                <w:sz w:val="18"/>
                <w:szCs w:val="20"/>
                <w:highlight w:val="yellow"/>
              </w:rPr>
            </w:pPr>
            <w:r>
              <w:rPr>
                <w:sz w:val="18"/>
                <w:szCs w:val="20"/>
                <w:highlight w:val="yellow"/>
              </w:rPr>
            </w:r>
            <w:r>
              <w:rPr>
                <w:sz w:val="18"/>
                <w:szCs w:val="20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pStyle w:val="664"/>
              <w:widowControl w:val="false"/>
              <w:pBdr/>
              <w:spacing w:after="0" w:before="0"/>
              <w:ind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3</w:t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5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pStyle w:val="664"/>
              <w:widowControl w:val="false"/>
              <w:pBdr/>
              <w:spacing w:after="0" w:before="0"/>
              <w:ind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…</w:t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5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2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  <w:p>
            <w:pPr>
              <w:pStyle w:val="664"/>
              <w:widowControl w:val="false"/>
              <w:pBdr/>
              <w:spacing w:after="0" w:before="0"/>
              <w:ind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pStyle w:val="664"/>
              <w:widowControl w:val="false"/>
              <w:pBdr/>
              <w:spacing w:after="0" w:before="0"/>
              <w:ind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  <w:r>
              <w:rPr>
                <w:sz w:val="18"/>
                <w:szCs w:val="20"/>
              </w:rPr>
            </w:r>
          </w:p>
        </w:tc>
      </w:tr>
    </w:tbl>
    <w:p>
      <w:pPr>
        <w:pStyle w:val="664"/>
        <w:pBdr/>
        <w:spacing w:after="0" w:before="0"/>
        <w:ind w:firstLine="567"/>
        <w:rPr/>
      </w:pPr>
      <w:r/>
      <w:r/>
      <w:r/>
    </w:p>
    <w:p>
      <w:pPr>
        <w:pStyle w:val="664"/>
        <w:pBdr/>
        <w:spacing w:after="0" w:before="0"/>
        <w:ind w:firstLine="567"/>
        <w:rPr/>
      </w:pPr>
      <w:r/>
      <w:r/>
    </w:p>
    <w:sectPr>
      <w:footnotePr/>
      <w:endnotePr/>
      <w:type w:val="nextPage"/>
      <w:pgSz w:h="16838" w:orient="portrait" w:w="11906"/>
      <w:pgMar w:top="1134" w:right="567" w:bottom="1134" w:left="1134" w:header="0" w:footer="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">
    <w:panose1 w:val="020B0602030504020204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"/>
    <w:basedOn w:val="67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Table Grid Light"/>
    <w:basedOn w:val="67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1"/>
    <w:basedOn w:val="67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2"/>
    <w:basedOn w:val="676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Plain Table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1 Light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2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3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"/>
    <w:basedOn w:val="6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1"/>
    <w:basedOn w:val="6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2"/>
    <w:basedOn w:val="6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3"/>
    <w:basedOn w:val="6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4"/>
    <w:basedOn w:val="6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5"/>
    <w:basedOn w:val="6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4 - Accent 6"/>
    <w:basedOn w:val="6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5 Dark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6 Colorful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7 Colorful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1 Light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2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3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4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5 Dark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6 Colorful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7 Colorful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1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2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3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4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5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ned - Accent 6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1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2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3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4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5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 &amp; Lined - Accent 6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Bordered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1"/>
    <w:basedOn w:val="664"/>
    <w:next w:val="664"/>
    <w:link w:val="150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40">
    <w:name w:val="Heading 2"/>
    <w:basedOn w:val="664"/>
    <w:next w:val="66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1">
    <w:name w:val="Heading 3"/>
    <w:basedOn w:val="664"/>
    <w:next w:val="664"/>
    <w:link w:val="152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2">
    <w:name w:val="Heading 4"/>
    <w:basedOn w:val="664"/>
    <w:next w:val="66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3">
    <w:name w:val="Heading 5"/>
    <w:basedOn w:val="664"/>
    <w:next w:val="664"/>
    <w:link w:val="154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4">
    <w:name w:val="Heading 6"/>
    <w:basedOn w:val="664"/>
    <w:next w:val="66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5">
    <w:name w:val="Heading 7"/>
    <w:basedOn w:val="664"/>
    <w:next w:val="664"/>
    <w:link w:val="156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6">
    <w:name w:val="Heading 8"/>
    <w:basedOn w:val="664"/>
    <w:next w:val="664"/>
    <w:link w:val="157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7">
    <w:name w:val="Heading 9"/>
    <w:basedOn w:val="664"/>
    <w:next w:val="664"/>
    <w:link w:val="158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1 Char"/>
    <w:basedOn w:val="665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1">
    <w:name w:val="Heading 2 Char"/>
    <w:basedOn w:val="665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2">
    <w:name w:val="Heading 3 Char"/>
    <w:basedOn w:val="665"/>
    <w:link w:val="14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3">
    <w:name w:val="Heading 4 Char"/>
    <w:basedOn w:val="665"/>
    <w:link w:val="142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4">
    <w:name w:val="Heading 5 Char"/>
    <w:basedOn w:val="665"/>
    <w:link w:val="14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5">
    <w:name w:val="Heading 6 Char"/>
    <w:basedOn w:val="665"/>
    <w:link w:val="144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6">
    <w:name w:val="Heading 7 Char"/>
    <w:basedOn w:val="665"/>
    <w:link w:val="145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7">
    <w:name w:val="Heading 8 Char"/>
    <w:basedOn w:val="665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8">
    <w:name w:val="Heading 9 Char"/>
    <w:basedOn w:val="665"/>
    <w:link w:val="14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9">
    <w:name w:val="Title"/>
    <w:basedOn w:val="664"/>
    <w:next w:val="664"/>
    <w:link w:val="160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60">
    <w:name w:val="Title Char"/>
    <w:basedOn w:val="665"/>
    <w:link w:val="159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1">
    <w:name w:val="Subtitle"/>
    <w:basedOn w:val="664"/>
    <w:next w:val="664"/>
    <w:link w:val="162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2">
    <w:name w:val="Subtitle Char"/>
    <w:basedOn w:val="665"/>
    <w:link w:val="161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3">
    <w:name w:val="Quote"/>
    <w:basedOn w:val="664"/>
    <w:next w:val="664"/>
    <w:link w:val="164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4">
    <w:name w:val="Quote Char"/>
    <w:basedOn w:val="665"/>
    <w:link w:val="163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5">
    <w:name w:val="List Paragraph"/>
    <w:basedOn w:val="664"/>
    <w:uiPriority w:val="34"/>
    <w:qFormat/>
    <w:pPr>
      <w:pBdr/>
      <w:spacing/>
      <w:ind w:left="720"/>
      <w:contextualSpacing w:val="true"/>
    </w:pPr>
  </w:style>
  <w:style w:type="character" w:styleId="166">
    <w:name w:val="Intense Emphasis"/>
    <w:basedOn w:val="66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7">
    <w:name w:val="Intense Quote"/>
    <w:basedOn w:val="664"/>
    <w:next w:val="664"/>
    <w:link w:val="168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8">
    <w:name w:val="Intense Quote Char"/>
    <w:basedOn w:val="665"/>
    <w:link w:val="167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9">
    <w:name w:val="Intense Reference"/>
    <w:basedOn w:val="66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70">
    <w:name w:val="No Spacing"/>
    <w:basedOn w:val="664"/>
    <w:uiPriority w:val="1"/>
    <w:qFormat/>
    <w:pPr>
      <w:pBdr/>
      <w:spacing w:after="0" w:line="240" w:lineRule="auto"/>
      <w:ind/>
    </w:pPr>
  </w:style>
  <w:style w:type="character" w:styleId="171">
    <w:name w:val="Subtle Emphasis"/>
    <w:basedOn w:val="66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2">
    <w:name w:val="Emphasis"/>
    <w:basedOn w:val="665"/>
    <w:uiPriority w:val="20"/>
    <w:qFormat/>
    <w:pPr>
      <w:pBdr/>
      <w:spacing/>
      <w:ind/>
    </w:pPr>
    <w:rPr>
      <w:i/>
      <w:iCs/>
    </w:rPr>
  </w:style>
  <w:style w:type="character" w:styleId="173">
    <w:name w:val="Strong"/>
    <w:basedOn w:val="665"/>
    <w:uiPriority w:val="22"/>
    <w:qFormat/>
    <w:pPr>
      <w:pBdr/>
      <w:spacing/>
      <w:ind/>
    </w:pPr>
    <w:rPr>
      <w:b/>
      <w:bCs/>
    </w:rPr>
  </w:style>
  <w:style w:type="character" w:styleId="174">
    <w:name w:val="Subtle Reference"/>
    <w:basedOn w:val="66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5">
    <w:name w:val="Book Title"/>
    <w:basedOn w:val="66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6">
    <w:name w:val="Header"/>
    <w:basedOn w:val="664"/>
    <w:link w:val="177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7">
    <w:name w:val="Header Char"/>
    <w:basedOn w:val="665"/>
    <w:link w:val="176"/>
    <w:uiPriority w:val="99"/>
    <w:pPr>
      <w:pBdr/>
      <w:spacing/>
      <w:ind/>
    </w:pPr>
  </w:style>
  <w:style w:type="paragraph" w:styleId="178">
    <w:name w:val="Footer"/>
    <w:basedOn w:val="664"/>
    <w:link w:val="179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9">
    <w:name w:val="Footer Char"/>
    <w:basedOn w:val="665"/>
    <w:link w:val="178"/>
    <w:uiPriority w:val="99"/>
    <w:pPr>
      <w:pBdr/>
      <w:spacing/>
      <w:ind/>
    </w:pPr>
  </w:style>
  <w:style w:type="paragraph" w:styleId="181">
    <w:name w:val="footnote text"/>
    <w:basedOn w:val="664"/>
    <w:link w:val="182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2">
    <w:name w:val="Footnote Text Char"/>
    <w:basedOn w:val="665"/>
    <w:link w:val="181"/>
    <w:uiPriority w:val="99"/>
    <w:semiHidden/>
    <w:pPr>
      <w:pBdr/>
      <w:spacing/>
      <w:ind/>
    </w:pPr>
    <w:rPr>
      <w:sz w:val="20"/>
      <w:szCs w:val="20"/>
    </w:rPr>
  </w:style>
  <w:style w:type="character" w:styleId="183">
    <w:name w:val="footnote reference"/>
    <w:basedOn w:val="665"/>
    <w:uiPriority w:val="99"/>
    <w:semiHidden/>
    <w:unhideWhenUsed/>
    <w:pPr>
      <w:pBdr/>
      <w:spacing/>
      <w:ind/>
    </w:pPr>
    <w:rPr>
      <w:vertAlign w:val="superscript"/>
    </w:rPr>
  </w:style>
  <w:style w:type="paragraph" w:styleId="184">
    <w:name w:val="endnote text"/>
    <w:basedOn w:val="664"/>
    <w:link w:val="18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5">
    <w:name w:val="Endnote Text Char"/>
    <w:basedOn w:val="665"/>
    <w:link w:val="184"/>
    <w:uiPriority w:val="99"/>
    <w:semiHidden/>
    <w:pPr>
      <w:pBdr/>
      <w:spacing/>
      <w:ind/>
    </w:pPr>
    <w:rPr>
      <w:sz w:val="20"/>
      <w:szCs w:val="20"/>
    </w:rPr>
  </w:style>
  <w:style w:type="character" w:styleId="186">
    <w:name w:val="endnote reference"/>
    <w:basedOn w:val="665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Hyperlink"/>
    <w:basedOn w:val="665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8">
    <w:name w:val="FollowedHyperlink"/>
    <w:basedOn w:val="66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9">
    <w:name w:val="toc 1"/>
    <w:basedOn w:val="664"/>
    <w:next w:val="664"/>
    <w:uiPriority w:val="39"/>
    <w:unhideWhenUsed/>
    <w:pPr>
      <w:pBdr/>
      <w:spacing w:after="100"/>
      <w:ind/>
    </w:pPr>
  </w:style>
  <w:style w:type="paragraph" w:styleId="190">
    <w:name w:val="toc 2"/>
    <w:basedOn w:val="664"/>
    <w:next w:val="664"/>
    <w:uiPriority w:val="39"/>
    <w:unhideWhenUsed/>
    <w:pPr>
      <w:pBdr/>
      <w:spacing w:after="100"/>
      <w:ind w:left="220"/>
    </w:pPr>
  </w:style>
  <w:style w:type="paragraph" w:styleId="191">
    <w:name w:val="toc 3"/>
    <w:basedOn w:val="664"/>
    <w:next w:val="664"/>
    <w:uiPriority w:val="39"/>
    <w:unhideWhenUsed/>
    <w:pPr>
      <w:pBdr/>
      <w:spacing w:after="100"/>
      <w:ind w:left="440"/>
    </w:pPr>
  </w:style>
  <w:style w:type="paragraph" w:styleId="192">
    <w:name w:val="toc 4"/>
    <w:basedOn w:val="664"/>
    <w:next w:val="664"/>
    <w:uiPriority w:val="39"/>
    <w:unhideWhenUsed/>
    <w:pPr>
      <w:pBdr/>
      <w:spacing w:after="100"/>
      <w:ind w:left="660"/>
    </w:pPr>
  </w:style>
  <w:style w:type="paragraph" w:styleId="193">
    <w:name w:val="toc 5"/>
    <w:basedOn w:val="664"/>
    <w:next w:val="664"/>
    <w:uiPriority w:val="39"/>
    <w:unhideWhenUsed/>
    <w:pPr>
      <w:pBdr/>
      <w:spacing w:after="100"/>
      <w:ind w:left="880"/>
    </w:pPr>
  </w:style>
  <w:style w:type="paragraph" w:styleId="194">
    <w:name w:val="toc 6"/>
    <w:basedOn w:val="664"/>
    <w:next w:val="664"/>
    <w:uiPriority w:val="39"/>
    <w:unhideWhenUsed/>
    <w:pPr>
      <w:pBdr/>
      <w:spacing w:after="100"/>
      <w:ind w:left="1100"/>
    </w:pPr>
  </w:style>
  <w:style w:type="paragraph" w:styleId="195">
    <w:name w:val="toc 7"/>
    <w:basedOn w:val="664"/>
    <w:next w:val="664"/>
    <w:uiPriority w:val="39"/>
    <w:unhideWhenUsed/>
    <w:pPr>
      <w:pBdr/>
      <w:spacing w:after="100"/>
      <w:ind w:left="1320"/>
    </w:pPr>
  </w:style>
  <w:style w:type="paragraph" w:styleId="196">
    <w:name w:val="toc 8"/>
    <w:basedOn w:val="664"/>
    <w:next w:val="664"/>
    <w:uiPriority w:val="39"/>
    <w:unhideWhenUsed/>
    <w:pPr>
      <w:pBdr/>
      <w:spacing w:after="100"/>
      <w:ind w:left="1540"/>
    </w:pPr>
  </w:style>
  <w:style w:type="paragraph" w:styleId="197">
    <w:name w:val="toc 9"/>
    <w:basedOn w:val="664"/>
    <w:next w:val="664"/>
    <w:uiPriority w:val="39"/>
    <w:unhideWhenUsed/>
    <w:pPr>
      <w:pBdr/>
      <w:spacing w:after="100"/>
      <w:ind w:left="1760"/>
    </w:pPr>
  </w:style>
  <w:style w:type="character" w:styleId="198">
    <w:name w:val="Placeholder Text"/>
    <w:basedOn w:val="665"/>
    <w:uiPriority w:val="99"/>
    <w:semiHidden/>
    <w:pPr>
      <w:pBdr/>
      <w:spacing/>
      <w:ind/>
    </w:pPr>
    <w:rPr>
      <w:color w:val="666666"/>
    </w:rPr>
  </w:style>
  <w:style w:type="paragraph" w:styleId="208">
    <w:name w:val="TOC Heading"/>
    <w:uiPriority w:val="39"/>
    <w:unhideWhenUsed/>
    <w:pPr>
      <w:pBdr/>
      <w:spacing/>
      <w:ind/>
    </w:pPr>
  </w:style>
  <w:style w:type="paragraph" w:styleId="209">
    <w:name w:val="table of figures"/>
    <w:basedOn w:val="664"/>
    <w:next w:val="664"/>
    <w:uiPriority w:val="99"/>
    <w:unhideWhenUsed/>
    <w:pPr>
      <w:pBdr/>
      <w:spacing w:after="0" w:afterAutospacing="0"/>
      <w:ind/>
    </w:pPr>
  </w:style>
  <w:style w:type="paragraph" w:styleId="664" w:default="1">
    <w:name w:val="Normal"/>
    <w:qFormat/>
    <w:pPr>
      <w:widowControl w:val="true"/>
      <w:pBdr/>
      <w:bidi w:val="false"/>
      <w:spacing w:after="60" w:before="0" w:line="240" w:lineRule="auto"/>
      <w:ind/>
      <w:jc w:val="both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character" w:styleId="665" w:default="1">
    <w:name w:val="Default Paragraph Font"/>
    <w:uiPriority w:val="1"/>
    <w:semiHidden/>
    <w:unhideWhenUsed/>
    <w:qFormat/>
    <w:pPr>
      <w:pBdr/>
      <w:spacing/>
      <w:ind/>
    </w:pPr>
  </w:style>
  <w:style w:type="character" w:styleId="666" w:customStyle="1">
    <w:name w:val="Font Style14"/>
    <w:qFormat/>
    <w:pPr>
      <w:pBdr/>
      <w:spacing/>
      <w:ind/>
    </w:pPr>
    <w:rPr>
      <w:rFonts w:ascii="Times New Roman" w:hAnsi="Times New Roman" w:cs="Times New Roman"/>
      <w:sz w:val="22"/>
      <w:szCs w:val="22"/>
    </w:rPr>
  </w:style>
  <w:style w:type="character" w:styleId="667" w:customStyle="1">
    <w:name w:val="Текст примечания Знак"/>
    <w:basedOn w:val="665"/>
    <w:link w:val="674"/>
    <w:uiPriority w:val="99"/>
    <w:qFormat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668" w:customStyle="1">
    <w:name w:val="Текст примечания Знак1"/>
    <w:basedOn w:val="665"/>
    <w:link w:val="674"/>
    <w:uiPriority w:val="99"/>
    <w:semiHidden/>
    <w:qFormat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669">
    <w:name w:val="Заголовок"/>
    <w:basedOn w:val="664"/>
    <w:next w:val="670"/>
    <w:qFormat/>
    <w:pPr>
      <w:keepNext w:val="true"/>
      <w:pBdr/>
      <w:spacing w:after="120" w:before="240"/>
      <w:ind/>
    </w:pPr>
    <w:rPr>
      <w:rFonts w:ascii="Liberation Sans" w:hAnsi="Liberation Sans" w:eastAsia="Microsoft YaHei" w:cs="Lucida Sans"/>
      <w:sz w:val="28"/>
      <w:szCs w:val="28"/>
    </w:rPr>
  </w:style>
  <w:style w:type="paragraph" w:styleId="670">
    <w:name w:val="Body Text"/>
    <w:basedOn w:val="664"/>
    <w:pPr>
      <w:pBdr/>
      <w:spacing w:after="140" w:before="0" w:line="276" w:lineRule="auto"/>
      <w:ind/>
    </w:pPr>
  </w:style>
  <w:style w:type="paragraph" w:styleId="671">
    <w:name w:val="List"/>
    <w:basedOn w:val="670"/>
    <w:pPr>
      <w:pBdr/>
      <w:spacing/>
      <w:ind/>
    </w:pPr>
    <w:rPr>
      <w:rFonts w:cs="Lucida Sans"/>
    </w:rPr>
  </w:style>
  <w:style w:type="paragraph" w:styleId="672">
    <w:name w:val="Caption"/>
    <w:basedOn w:val="664"/>
    <w:qFormat/>
    <w:pPr>
      <w:suppressLineNumbers w:val="true"/>
      <w:pBdr/>
      <w:spacing w:after="120" w:before="120"/>
      <w:ind/>
    </w:pPr>
    <w:rPr>
      <w:rFonts w:cs="Lucida Sans"/>
      <w:i/>
      <w:iCs/>
      <w:sz w:val="24"/>
      <w:szCs w:val="24"/>
    </w:rPr>
  </w:style>
  <w:style w:type="paragraph" w:styleId="673">
    <w:name w:val="Указатель"/>
    <w:basedOn w:val="664"/>
    <w:qFormat/>
    <w:pPr>
      <w:suppressLineNumbers w:val="true"/>
      <w:pBdr/>
      <w:spacing/>
      <w:ind/>
    </w:pPr>
    <w:rPr>
      <w:rFonts w:cs="Lucida Sans"/>
    </w:rPr>
  </w:style>
  <w:style w:type="paragraph" w:styleId="674">
    <w:name w:val="annotation text"/>
    <w:basedOn w:val="664"/>
    <w:link w:val="667"/>
    <w:uiPriority w:val="99"/>
    <w:unhideWhenUsed/>
    <w:qFormat/>
    <w:pPr>
      <w:pBdr/>
      <w:spacing w:after="0" w:before="0"/>
      <w:ind/>
      <w:jc w:val="left"/>
    </w:pPr>
    <w:rPr>
      <w:sz w:val="20"/>
      <w:szCs w:val="20"/>
    </w:rPr>
  </w:style>
  <w:style w:type="numbering" w:styleId="675" w:default="1">
    <w:name w:val="No List"/>
    <w:uiPriority w:val="99"/>
    <w:semiHidden/>
    <w:unhideWhenUsed/>
    <w:qFormat/>
    <w:pPr>
      <w:pBdr/>
      <w:spacing/>
      <w:ind/>
    </w:pPr>
  </w:style>
  <w:style w:type="table" w:styleId="676" w:default="1">
    <w:name w:val="Normal Table"/>
    <w:uiPriority w:val="99"/>
    <w:semiHidden/>
    <w:unhideWhenUsed/>
    <w:qFormat/>
    <w:pPr>
      <w:pBdr/>
      <w:spacing/>
      <w:ind/>
    </w:pPr>
    <w:tblPr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ONLYOFFICE/9.0.4.50</Application>
  <HeadingPairs>
    <vt:vector size="0" baseType="variant"/>
  </HeadingPairs>
  <TitlesOfParts>
    <vt:vector size="0" baseType="lpstr"/>
  </TitlesOfPart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abybakirov-an</dc:creator>
  <dc:description/>
  <dc:language>ru-RU</dc:language>
  <cp:revision>5</cp:revision>
  <dcterms:created xsi:type="dcterms:W3CDTF">2021-09-23T10:33:00Z</dcterms:created>
  <dcterms:modified xsi:type="dcterms:W3CDTF">2025-09-11T12:36:20Z</dcterms:modified>
</cp:coreProperties>
</file>